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873F5" w14:textId="785B9E9E" w:rsidR="00940462" w:rsidRDefault="00D53FD4">
      <w:pPr>
        <w:rPr>
          <w:rFonts w:ascii="Times New Roman" w:hAnsi="Times New Roman" w:cs="Times New Roman"/>
          <w:sz w:val="24"/>
          <w:szCs w:val="24"/>
        </w:rPr>
      </w:pPr>
      <w:proofErr w:type="spellStart"/>
      <w:r>
        <w:rPr>
          <w:rFonts w:ascii="Times New Roman" w:hAnsi="Times New Roman" w:cs="Times New Roman"/>
          <w:sz w:val="24"/>
          <w:szCs w:val="24"/>
        </w:rPr>
        <w:t>Liisa-Ly</w:t>
      </w:r>
      <w:proofErr w:type="spellEnd"/>
      <w:r>
        <w:rPr>
          <w:rFonts w:ascii="Times New Roman" w:hAnsi="Times New Roman" w:cs="Times New Roman"/>
          <w:sz w:val="24"/>
          <w:szCs w:val="24"/>
        </w:rPr>
        <w:t xml:space="preserve"> Pakosta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23.08.2024</w:t>
      </w:r>
    </w:p>
    <w:p w14:paraId="59EF462F" w14:textId="4C1EC23D" w:rsidR="00D53FD4" w:rsidRDefault="00D53FD4">
      <w:pPr>
        <w:rPr>
          <w:rFonts w:ascii="Times New Roman" w:hAnsi="Times New Roman" w:cs="Times New Roman"/>
          <w:sz w:val="24"/>
          <w:szCs w:val="24"/>
        </w:rPr>
      </w:pPr>
      <w:r>
        <w:rPr>
          <w:rFonts w:ascii="Times New Roman" w:hAnsi="Times New Roman" w:cs="Times New Roman"/>
          <w:sz w:val="24"/>
          <w:szCs w:val="24"/>
        </w:rPr>
        <w:t>Justiits- ja digiminister</w:t>
      </w:r>
    </w:p>
    <w:p w14:paraId="6E9A2E0A" w14:textId="77777777" w:rsidR="00D53FD4" w:rsidRDefault="00D53FD4">
      <w:pPr>
        <w:rPr>
          <w:rFonts w:ascii="Times New Roman" w:hAnsi="Times New Roman" w:cs="Times New Roman"/>
          <w:sz w:val="24"/>
          <w:szCs w:val="24"/>
        </w:rPr>
      </w:pPr>
    </w:p>
    <w:p w14:paraId="0C6AEC2A" w14:textId="5E8D1A79" w:rsidR="00D53FD4" w:rsidRDefault="00D53FD4">
      <w:pPr>
        <w:rPr>
          <w:rFonts w:ascii="Times New Roman" w:hAnsi="Times New Roman" w:cs="Times New Roman"/>
          <w:sz w:val="24"/>
          <w:szCs w:val="24"/>
        </w:rPr>
      </w:pPr>
      <w:r>
        <w:rPr>
          <w:rFonts w:ascii="Times New Roman" w:hAnsi="Times New Roman" w:cs="Times New Roman"/>
          <w:sz w:val="24"/>
          <w:szCs w:val="24"/>
        </w:rPr>
        <w:t>Lugupeetud minister</w:t>
      </w:r>
    </w:p>
    <w:p w14:paraId="5E98920C" w14:textId="77777777" w:rsidR="00D53FD4" w:rsidRDefault="00D53FD4" w:rsidP="00C7432B">
      <w:pPr>
        <w:jc w:val="both"/>
        <w:rPr>
          <w:rFonts w:ascii="Times New Roman" w:hAnsi="Times New Roman" w:cs="Times New Roman"/>
          <w:sz w:val="24"/>
          <w:szCs w:val="24"/>
        </w:rPr>
      </w:pPr>
    </w:p>
    <w:p w14:paraId="7409C169" w14:textId="47F84247" w:rsidR="00D53FD4" w:rsidRDefault="00D53FD4" w:rsidP="00C7432B">
      <w:pPr>
        <w:jc w:val="both"/>
        <w:rPr>
          <w:rFonts w:ascii="Times New Roman" w:hAnsi="Times New Roman" w:cs="Times New Roman"/>
          <w:sz w:val="24"/>
          <w:szCs w:val="24"/>
        </w:rPr>
      </w:pPr>
      <w:r>
        <w:rPr>
          <w:rFonts w:ascii="Times New Roman" w:hAnsi="Times New Roman" w:cs="Times New Roman"/>
          <w:sz w:val="24"/>
          <w:szCs w:val="24"/>
        </w:rPr>
        <w:t>Tartu Maakohtu Jõgeva kohtumaja on vajalik julgeoleku seiskohast ning õigusemõistmise tagamiseks.</w:t>
      </w:r>
      <w:r w:rsidR="00C7432B">
        <w:rPr>
          <w:rFonts w:ascii="Times New Roman" w:hAnsi="Times New Roman" w:cs="Times New Roman"/>
          <w:sz w:val="24"/>
          <w:szCs w:val="24"/>
        </w:rPr>
        <w:t xml:space="preserve"> Märkida tuleb ka, et Jõgeva kohtumaja üürilepingu ennetähtaegse lõpetamisega kaasnevad märkimisväärsed kulud. </w:t>
      </w:r>
    </w:p>
    <w:p w14:paraId="576C77DE" w14:textId="7B4FDC45" w:rsidR="00D53FD4" w:rsidRPr="00193771" w:rsidRDefault="00D53FD4" w:rsidP="00D53FD4">
      <w:pPr>
        <w:pStyle w:val="Loendilik"/>
        <w:numPr>
          <w:ilvl w:val="0"/>
          <w:numId w:val="1"/>
        </w:numPr>
        <w:rPr>
          <w:rFonts w:ascii="Times New Roman" w:hAnsi="Times New Roman" w:cs="Times New Roman"/>
          <w:b/>
          <w:bCs/>
          <w:sz w:val="24"/>
          <w:szCs w:val="24"/>
        </w:rPr>
      </w:pPr>
      <w:r w:rsidRPr="00193771">
        <w:rPr>
          <w:rFonts w:ascii="Times New Roman" w:hAnsi="Times New Roman" w:cs="Times New Roman"/>
          <w:b/>
          <w:bCs/>
          <w:sz w:val="24"/>
          <w:szCs w:val="24"/>
        </w:rPr>
        <w:t>Julgeolek</w:t>
      </w:r>
      <w:r w:rsidR="00293224" w:rsidRPr="00193771">
        <w:rPr>
          <w:rFonts w:ascii="Times New Roman" w:hAnsi="Times New Roman" w:cs="Times New Roman"/>
          <w:b/>
          <w:bCs/>
          <w:sz w:val="24"/>
          <w:szCs w:val="24"/>
        </w:rPr>
        <w:t xml:space="preserve"> ja toimepidevus</w:t>
      </w:r>
    </w:p>
    <w:p w14:paraId="61F2678D" w14:textId="0271F966" w:rsidR="00C45DCB" w:rsidRDefault="00D53FD4" w:rsidP="00293224">
      <w:pPr>
        <w:jc w:val="both"/>
        <w:rPr>
          <w:rFonts w:ascii="Times New Roman" w:hAnsi="Times New Roman" w:cs="Times New Roman"/>
          <w:sz w:val="24"/>
          <w:szCs w:val="24"/>
        </w:rPr>
      </w:pPr>
      <w:r>
        <w:rPr>
          <w:rFonts w:ascii="Times New Roman" w:hAnsi="Times New Roman" w:cs="Times New Roman"/>
          <w:sz w:val="24"/>
          <w:szCs w:val="24"/>
        </w:rPr>
        <w:t>Jõgeva kohtumaja on ainu</w:t>
      </w:r>
      <w:r w:rsidR="009F6936">
        <w:rPr>
          <w:rFonts w:ascii="Times New Roman" w:hAnsi="Times New Roman" w:cs="Times New Roman"/>
          <w:sz w:val="24"/>
          <w:szCs w:val="24"/>
        </w:rPr>
        <w:t>k</w:t>
      </w:r>
      <w:r>
        <w:rPr>
          <w:rFonts w:ascii="Times New Roman" w:hAnsi="Times New Roman" w:cs="Times New Roman"/>
          <w:sz w:val="24"/>
          <w:szCs w:val="24"/>
        </w:rPr>
        <w:t>e kohtumaja</w:t>
      </w:r>
      <w:r w:rsidR="009F6936">
        <w:rPr>
          <w:rFonts w:ascii="Times New Roman" w:hAnsi="Times New Roman" w:cs="Times New Roman"/>
          <w:sz w:val="24"/>
          <w:szCs w:val="24"/>
        </w:rPr>
        <w:t xml:space="preserve"> Lõuna- ja Kesk-Eestis</w:t>
      </w:r>
      <w:r>
        <w:rPr>
          <w:rFonts w:ascii="Times New Roman" w:hAnsi="Times New Roman" w:cs="Times New Roman"/>
          <w:sz w:val="24"/>
          <w:szCs w:val="24"/>
        </w:rPr>
        <w:t xml:space="preserve">, kus on olemas generaator </w:t>
      </w:r>
      <w:r w:rsidR="00F00728">
        <w:rPr>
          <w:rFonts w:ascii="Times New Roman" w:hAnsi="Times New Roman" w:cs="Times New Roman"/>
          <w:sz w:val="24"/>
          <w:szCs w:val="24"/>
        </w:rPr>
        <w:t xml:space="preserve">autonoomse </w:t>
      </w:r>
      <w:r w:rsidR="009F6936">
        <w:rPr>
          <w:rFonts w:ascii="Times New Roman" w:hAnsi="Times New Roman" w:cs="Times New Roman"/>
          <w:sz w:val="24"/>
          <w:szCs w:val="24"/>
        </w:rPr>
        <w:t>elektrivarustuse tagamiseks 72 tunniks</w:t>
      </w:r>
      <w:r w:rsidR="00C45DCB">
        <w:rPr>
          <w:rFonts w:ascii="Times New Roman" w:hAnsi="Times New Roman" w:cs="Times New Roman"/>
          <w:sz w:val="24"/>
          <w:szCs w:val="24"/>
        </w:rPr>
        <w:t>.</w:t>
      </w:r>
      <w:r w:rsidR="009F6936">
        <w:rPr>
          <w:rFonts w:ascii="Times New Roman" w:hAnsi="Times New Roman" w:cs="Times New Roman"/>
          <w:sz w:val="24"/>
          <w:szCs w:val="24"/>
        </w:rPr>
        <w:t xml:space="preserve"> Seetõttu näeb Tartu Maakohtu toimepidevusplaan ette õigusemõistmise koondumist Jõgeva kohtumajja pik</w:t>
      </w:r>
      <w:r w:rsidR="00C45DCB">
        <w:rPr>
          <w:rFonts w:ascii="Times New Roman" w:hAnsi="Times New Roman" w:cs="Times New Roman"/>
          <w:sz w:val="24"/>
          <w:szCs w:val="24"/>
        </w:rPr>
        <w:t>ema elektrikatkestuse korral.</w:t>
      </w:r>
      <w:r w:rsidR="009F6080">
        <w:rPr>
          <w:rFonts w:ascii="Times New Roman" w:hAnsi="Times New Roman" w:cs="Times New Roman"/>
          <w:sz w:val="24"/>
          <w:szCs w:val="24"/>
        </w:rPr>
        <w:t xml:space="preserve"> Jõgeva maja kaotamisel kaotab Tartu Maakohus seega koha, kus õigusemõistmist kriisiolukorras läbi viia, ehk et toimepidevus katkeb.  </w:t>
      </w:r>
    </w:p>
    <w:p w14:paraId="00837C2D" w14:textId="48EB0ECA" w:rsidR="00D53FD4" w:rsidRDefault="00C45DCB" w:rsidP="00293224">
      <w:pPr>
        <w:jc w:val="both"/>
        <w:rPr>
          <w:rFonts w:ascii="Times New Roman" w:hAnsi="Times New Roman" w:cs="Times New Roman"/>
          <w:sz w:val="24"/>
          <w:szCs w:val="24"/>
        </w:rPr>
      </w:pPr>
      <w:r>
        <w:rPr>
          <w:rFonts w:ascii="Times New Roman" w:hAnsi="Times New Roman" w:cs="Times New Roman"/>
          <w:sz w:val="24"/>
          <w:szCs w:val="24"/>
        </w:rPr>
        <w:t>Samuti näeb kohtu kriisiplaan ette õigusemõistmise üleviimist Jõgeva kohtumajja agressiooni korral, kui piirialad langevad agressori kätte.</w:t>
      </w:r>
      <w:r w:rsidR="00C34B0E">
        <w:rPr>
          <w:rFonts w:ascii="Times New Roman" w:hAnsi="Times New Roman" w:cs="Times New Roman"/>
          <w:sz w:val="24"/>
          <w:szCs w:val="24"/>
        </w:rPr>
        <w:t xml:space="preserve"> Usutavasti käitutakse </w:t>
      </w:r>
      <w:r w:rsidR="009F6080">
        <w:rPr>
          <w:rFonts w:ascii="Times New Roman" w:hAnsi="Times New Roman" w:cs="Times New Roman"/>
          <w:sz w:val="24"/>
          <w:szCs w:val="24"/>
        </w:rPr>
        <w:t xml:space="preserve">riigis tervikuna </w:t>
      </w:r>
      <w:r w:rsidR="00C34B0E">
        <w:rPr>
          <w:rFonts w:ascii="Times New Roman" w:hAnsi="Times New Roman" w:cs="Times New Roman"/>
          <w:sz w:val="24"/>
          <w:szCs w:val="24"/>
        </w:rPr>
        <w:t xml:space="preserve">agressiooni korral sarnaselt, st inimesed evakueeritakse </w:t>
      </w:r>
      <w:r w:rsidR="009F6080">
        <w:rPr>
          <w:rFonts w:ascii="Times New Roman" w:hAnsi="Times New Roman" w:cs="Times New Roman"/>
          <w:sz w:val="24"/>
          <w:szCs w:val="24"/>
        </w:rPr>
        <w:t xml:space="preserve">piirialadelt eemale, ennekõike riigi keskele. Teatavasti ei saa õigusemõistmine ka agressiooni korral katkeda ja </w:t>
      </w:r>
      <w:r w:rsidR="004D01B8">
        <w:rPr>
          <w:rFonts w:ascii="Times New Roman" w:hAnsi="Times New Roman" w:cs="Times New Roman"/>
          <w:sz w:val="24"/>
          <w:szCs w:val="24"/>
        </w:rPr>
        <w:t xml:space="preserve">Jõgeva kohtumaja sulgemise korral see nii vähemal osaliselt juhtuks. </w:t>
      </w:r>
    </w:p>
    <w:p w14:paraId="2098C263" w14:textId="0DC42768" w:rsidR="00C45DCB" w:rsidRPr="00193771" w:rsidRDefault="00C45DCB" w:rsidP="00C45DCB">
      <w:pPr>
        <w:pStyle w:val="Loendilik"/>
        <w:numPr>
          <w:ilvl w:val="0"/>
          <w:numId w:val="1"/>
        </w:numPr>
        <w:rPr>
          <w:rFonts w:ascii="Times New Roman" w:hAnsi="Times New Roman" w:cs="Times New Roman"/>
          <w:b/>
          <w:bCs/>
          <w:sz w:val="24"/>
          <w:szCs w:val="24"/>
        </w:rPr>
      </w:pPr>
      <w:r w:rsidRPr="00193771">
        <w:rPr>
          <w:rFonts w:ascii="Times New Roman" w:hAnsi="Times New Roman" w:cs="Times New Roman"/>
          <w:b/>
          <w:bCs/>
          <w:sz w:val="24"/>
          <w:szCs w:val="24"/>
        </w:rPr>
        <w:t>Kohtumaja tõhusus</w:t>
      </w:r>
    </w:p>
    <w:p w14:paraId="31C186EB" w14:textId="70BAACCA" w:rsidR="00D05C4C" w:rsidRDefault="00C45DCB" w:rsidP="00293224">
      <w:pPr>
        <w:jc w:val="both"/>
        <w:rPr>
          <w:rFonts w:ascii="Times New Roman" w:hAnsi="Times New Roman" w:cs="Times New Roman"/>
          <w:sz w:val="24"/>
          <w:szCs w:val="24"/>
        </w:rPr>
      </w:pPr>
      <w:r>
        <w:rPr>
          <w:rFonts w:ascii="Times New Roman" w:hAnsi="Times New Roman" w:cs="Times New Roman"/>
          <w:sz w:val="24"/>
          <w:szCs w:val="24"/>
        </w:rPr>
        <w:t xml:space="preserve">Jõgeva kohtumaja pinnakasutus ning seeläbi kulutase ühe töökoha kohta on </w:t>
      </w:r>
      <w:r w:rsidR="00AD0C0C">
        <w:rPr>
          <w:rFonts w:ascii="Times New Roman" w:hAnsi="Times New Roman" w:cs="Times New Roman"/>
          <w:sz w:val="24"/>
          <w:szCs w:val="24"/>
        </w:rPr>
        <w:t xml:space="preserve">1-4 </w:t>
      </w:r>
      <w:r w:rsidR="00D05C4C">
        <w:rPr>
          <w:rFonts w:ascii="Times New Roman" w:hAnsi="Times New Roman" w:cs="Times New Roman"/>
          <w:sz w:val="24"/>
          <w:szCs w:val="24"/>
        </w:rPr>
        <w:t>kohtunikukohaga kohtumajade</w:t>
      </w:r>
      <w:r w:rsidR="00AD0C0C">
        <w:rPr>
          <w:rFonts w:ascii="Times New Roman" w:hAnsi="Times New Roman" w:cs="Times New Roman"/>
          <w:sz w:val="24"/>
          <w:szCs w:val="24"/>
        </w:rPr>
        <w:t>ga</w:t>
      </w:r>
      <w:r w:rsidR="00D05C4C">
        <w:rPr>
          <w:rFonts w:ascii="Times New Roman" w:hAnsi="Times New Roman" w:cs="Times New Roman"/>
          <w:sz w:val="24"/>
          <w:szCs w:val="24"/>
        </w:rPr>
        <w:t xml:space="preserve"> </w:t>
      </w:r>
      <w:r w:rsidR="00AD0C0C">
        <w:rPr>
          <w:rFonts w:ascii="Times New Roman" w:hAnsi="Times New Roman" w:cs="Times New Roman"/>
          <w:sz w:val="24"/>
          <w:szCs w:val="24"/>
        </w:rPr>
        <w:t xml:space="preserve">võrreldes </w:t>
      </w:r>
      <w:r>
        <w:rPr>
          <w:rFonts w:ascii="Times New Roman" w:hAnsi="Times New Roman" w:cs="Times New Roman"/>
          <w:sz w:val="24"/>
          <w:szCs w:val="24"/>
        </w:rPr>
        <w:t>kohtusüsteemi tõhusa</w:t>
      </w:r>
      <w:r w:rsidR="00293224">
        <w:rPr>
          <w:rFonts w:ascii="Times New Roman" w:hAnsi="Times New Roman" w:cs="Times New Roman"/>
          <w:sz w:val="24"/>
          <w:szCs w:val="24"/>
        </w:rPr>
        <w:t>im</w:t>
      </w:r>
      <w:r>
        <w:rPr>
          <w:rFonts w:ascii="Times New Roman" w:hAnsi="Times New Roman" w:cs="Times New Roman"/>
          <w:sz w:val="24"/>
          <w:szCs w:val="24"/>
        </w:rPr>
        <w:t>:</w:t>
      </w:r>
    </w:p>
    <w:tbl>
      <w:tblPr>
        <w:tblW w:w="4360" w:type="dxa"/>
        <w:tblCellMar>
          <w:left w:w="70" w:type="dxa"/>
          <w:right w:w="70" w:type="dxa"/>
        </w:tblCellMar>
        <w:tblLook w:val="04A0" w:firstRow="1" w:lastRow="0" w:firstColumn="1" w:lastColumn="0" w:noHBand="0" w:noVBand="1"/>
      </w:tblPr>
      <w:tblGrid>
        <w:gridCol w:w="1920"/>
        <w:gridCol w:w="1280"/>
        <w:gridCol w:w="1277"/>
      </w:tblGrid>
      <w:tr w:rsidR="00D05C4C" w:rsidRPr="00D05C4C" w14:paraId="64821A30" w14:textId="77777777" w:rsidTr="00D05C4C">
        <w:trPr>
          <w:trHeight w:val="1104"/>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61BBE"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D030982"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Jõgeva kohtumaja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890C27C"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1-4 kohtunikuga kohtumajade keskmine</w:t>
            </w:r>
          </w:p>
        </w:tc>
      </w:tr>
      <w:tr w:rsidR="00D05C4C" w:rsidRPr="00D05C4C" w14:paraId="55ACA606" w14:textId="77777777" w:rsidTr="00D05C4C">
        <w:trPr>
          <w:trHeight w:val="576"/>
        </w:trPr>
        <w:tc>
          <w:tcPr>
            <w:tcW w:w="1920" w:type="dxa"/>
            <w:tcBorders>
              <w:top w:val="nil"/>
              <w:left w:val="single" w:sz="4" w:space="0" w:color="auto"/>
              <w:bottom w:val="single" w:sz="4" w:space="0" w:color="auto"/>
              <w:right w:val="single" w:sz="4" w:space="0" w:color="auto"/>
            </w:tcBorders>
            <w:shd w:val="clear" w:color="auto" w:fill="auto"/>
            <w:vAlign w:val="bottom"/>
            <w:hideMark/>
          </w:tcPr>
          <w:p w14:paraId="6E33891D"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m</w:t>
            </w:r>
            <w:r w:rsidRPr="00D05C4C">
              <w:rPr>
                <w:rFonts w:ascii="Calibri" w:eastAsia="Times New Roman" w:hAnsi="Calibri" w:cs="Calibri"/>
                <w:color w:val="000000"/>
                <w:lang w:eastAsia="et-EE"/>
              </w:rPr>
              <w:t>²</w:t>
            </w:r>
            <w:r w:rsidRPr="00D05C4C">
              <w:rPr>
                <w:rFonts w:ascii="Times New Roman" w:eastAsia="Times New Roman" w:hAnsi="Times New Roman" w:cs="Times New Roman"/>
                <w:color w:val="000000"/>
                <w:lang w:eastAsia="et-EE"/>
              </w:rPr>
              <w:t xml:space="preserve"> arv töökoha kohta</w:t>
            </w:r>
          </w:p>
        </w:tc>
        <w:tc>
          <w:tcPr>
            <w:tcW w:w="1280" w:type="dxa"/>
            <w:tcBorders>
              <w:top w:val="nil"/>
              <w:left w:val="nil"/>
              <w:bottom w:val="single" w:sz="4" w:space="0" w:color="auto"/>
              <w:right w:val="single" w:sz="4" w:space="0" w:color="auto"/>
            </w:tcBorders>
            <w:shd w:val="clear" w:color="auto" w:fill="auto"/>
            <w:noWrap/>
            <w:vAlign w:val="center"/>
            <w:hideMark/>
          </w:tcPr>
          <w:p w14:paraId="4A200A08"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28,5</w:t>
            </w:r>
          </w:p>
        </w:tc>
        <w:tc>
          <w:tcPr>
            <w:tcW w:w="1160" w:type="dxa"/>
            <w:tcBorders>
              <w:top w:val="nil"/>
              <w:left w:val="nil"/>
              <w:bottom w:val="single" w:sz="4" w:space="0" w:color="auto"/>
              <w:right w:val="single" w:sz="4" w:space="0" w:color="auto"/>
            </w:tcBorders>
            <w:shd w:val="clear" w:color="auto" w:fill="auto"/>
            <w:noWrap/>
            <w:vAlign w:val="center"/>
            <w:hideMark/>
          </w:tcPr>
          <w:p w14:paraId="4A2DAF58" w14:textId="426A6A96"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46,</w:t>
            </w:r>
            <w:r>
              <w:rPr>
                <w:rFonts w:ascii="Times New Roman" w:eastAsia="Times New Roman" w:hAnsi="Times New Roman" w:cs="Times New Roman"/>
                <w:color w:val="000000"/>
                <w:lang w:eastAsia="et-EE"/>
              </w:rPr>
              <w:t>8</w:t>
            </w:r>
          </w:p>
        </w:tc>
      </w:tr>
      <w:tr w:rsidR="00D05C4C" w:rsidRPr="00D05C4C" w14:paraId="1DFF1715" w14:textId="77777777" w:rsidTr="00D05C4C">
        <w:trPr>
          <w:trHeight w:val="828"/>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B6A12F6"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Kinnisvara kulu töökoha kohta aastas, eurot</w:t>
            </w:r>
          </w:p>
        </w:tc>
        <w:tc>
          <w:tcPr>
            <w:tcW w:w="1280" w:type="dxa"/>
            <w:tcBorders>
              <w:top w:val="nil"/>
              <w:left w:val="nil"/>
              <w:bottom w:val="single" w:sz="4" w:space="0" w:color="auto"/>
              <w:right w:val="single" w:sz="4" w:space="0" w:color="auto"/>
            </w:tcBorders>
            <w:shd w:val="clear" w:color="auto" w:fill="auto"/>
            <w:noWrap/>
            <w:vAlign w:val="center"/>
            <w:hideMark/>
          </w:tcPr>
          <w:p w14:paraId="0F665EF5" w14:textId="77777777"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sidRPr="00D05C4C">
              <w:rPr>
                <w:rFonts w:ascii="Times New Roman" w:eastAsia="Times New Roman" w:hAnsi="Times New Roman" w:cs="Times New Roman"/>
                <w:color w:val="000000"/>
                <w:lang w:eastAsia="et-EE"/>
              </w:rPr>
              <w:t>6721</w:t>
            </w:r>
          </w:p>
        </w:tc>
        <w:tc>
          <w:tcPr>
            <w:tcW w:w="1160" w:type="dxa"/>
            <w:tcBorders>
              <w:top w:val="nil"/>
              <w:left w:val="nil"/>
              <w:bottom w:val="single" w:sz="4" w:space="0" w:color="auto"/>
              <w:right w:val="single" w:sz="4" w:space="0" w:color="auto"/>
            </w:tcBorders>
            <w:shd w:val="clear" w:color="auto" w:fill="auto"/>
            <w:noWrap/>
            <w:vAlign w:val="center"/>
            <w:hideMark/>
          </w:tcPr>
          <w:p w14:paraId="65558C95" w14:textId="1611E5AD" w:rsidR="00D05C4C" w:rsidRPr="00D05C4C" w:rsidRDefault="00D05C4C" w:rsidP="00D05C4C">
            <w:pPr>
              <w:spacing w:after="0" w:line="240" w:lineRule="auto"/>
              <w:jc w:val="center"/>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9 384</w:t>
            </w:r>
          </w:p>
        </w:tc>
      </w:tr>
    </w:tbl>
    <w:p w14:paraId="762FDFA3" w14:textId="7FD6702D" w:rsidR="00AD0C0C" w:rsidRDefault="00C45DCB" w:rsidP="00C45DCB">
      <w:pPr>
        <w:rPr>
          <w:rFonts w:ascii="Times New Roman" w:hAnsi="Times New Roman" w:cs="Times New Roman"/>
          <w:sz w:val="24"/>
          <w:szCs w:val="24"/>
        </w:rPr>
      </w:pPr>
      <w:r>
        <w:rPr>
          <w:rFonts w:ascii="Times New Roman" w:hAnsi="Times New Roman" w:cs="Times New Roman"/>
          <w:sz w:val="24"/>
          <w:szCs w:val="24"/>
        </w:rPr>
        <w:t xml:space="preserve"> </w:t>
      </w:r>
    </w:p>
    <w:p w14:paraId="1DBE3DEC" w14:textId="2E3266E8" w:rsidR="00AD0C0C" w:rsidRDefault="00AD0C0C" w:rsidP="00293224">
      <w:pPr>
        <w:jc w:val="both"/>
        <w:rPr>
          <w:rFonts w:ascii="Times New Roman" w:hAnsi="Times New Roman" w:cs="Times New Roman"/>
          <w:sz w:val="24"/>
          <w:szCs w:val="24"/>
        </w:rPr>
      </w:pPr>
      <w:r>
        <w:rPr>
          <w:rFonts w:ascii="Times New Roman" w:hAnsi="Times New Roman" w:cs="Times New Roman"/>
          <w:sz w:val="24"/>
          <w:szCs w:val="24"/>
        </w:rPr>
        <w:t>Jõgeva kohtumaja kinnisvarakulud</w:t>
      </w:r>
      <w:r w:rsidR="00883910">
        <w:rPr>
          <w:rFonts w:ascii="Times New Roman" w:hAnsi="Times New Roman" w:cs="Times New Roman"/>
          <w:sz w:val="24"/>
          <w:szCs w:val="24"/>
        </w:rPr>
        <w:t xml:space="preserve"> on </w:t>
      </w:r>
      <w:r>
        <w:rPr>
          <w:rFonts w:ascii="Times New Roman" w:hAnsi="Times New Roman" w:cs="Times New Roman"/>
          <w:sz w:val="24"/>
          <w:szCs w:val="24"/>
        </w:rPr>
        <w:t xml:space="preserve"> 102 927 eurot + käibemaks  aastas, mis moodusta</w:t>
      </w:r>
      <w:r w:rsidR="00F00728">
        <w:rPr>
          <w:rFonts w:ascii="Times New Roman" w:hAnsi="Times New Roman" w:cs="Times New Roman"/>
          <w:sz w:val="24"/>
          <w:szCs w:val="24"/>
        </w:rPr>
        <w:t>b</w:t>
      </w:r>
      <w:r w:rsidR="009F3DAE">
        <w:rPr>
          <w:rFonts w:ascii="Times New Roman" w:hAnsi="Times New Roman" w:cs="Times New Roman"/>
          <w:sz w:val="24"/>
          <w:szCs w:val="24"/>
        </w:rPr>
        <w:t xml:space="preserve"> 0,2% I ja II astme kohtute eelarve</w:t>
      </w:r>
      <w:r w:rsidR="00883910">
        <w:rPr>
          <w:rFonts w:ascii="Times New Roman" w:hAnsi="Times New Roman" w:cs="Times New Roman"/>
          <w:sz w:val="24"/>
          <w:szCs w:val="24"/>
        </w:rPr>
        <w:t xml:space="preserve"> kulude</w:t>
      </w:r>
      <w:r w:rsidR="009F3DAE">
        <w:rPr>
          <w:rFonts w:ascii="Times New Roman" w:hAnsi="Times New Roman" w:cs="Times New Roman"/>
          <w:sz w:val="24"/>
          <w:szCs w:val="24"/>
        </w:rPr>
        <w:t>st.</w:t>
      </w:r>
      <w:r w:rsidR="009F6080">
        <w:rPr>
          <w:rFonts w:ascii="Times New Roman" w:hAnsi="Times New Roman" w:cs="Times New Roman"/>
          <w:sz w:val="24"/>
          <w:szCs w:val="24"/>
        </w:rPr>
        <w:t xml:space="preserve"> </w:t>
      </w:r>
      <w:r w:rsidR="004D01B8">
        <w:rPr>
          <w:rFonts w:ascii="Times New Roman" w:hAnsi="Times New Roman" w:cs="Times New Roman"/>
          <w:sz w:val="24"/>
          <w:szCs w:val="24"/>
        </w:rPr>
        <w:t xml:space="preserve">Seega on Eesti kohtusüsteemis oluliselt ebaefektiivsemaid kohtupidamise kohti, mille sulgemist kaaluda. </w:t>
      </w:r>
    </w:p>
    <w:p w14:paraId="3C44F9DA" w14:textId="337C9BB7" w:rsidR="00773C19" w:rsidRPr="00193771" w:rsidRDefault="00773C19" w:rsidP="00773C19">
      <w:pPr>
        <w:pStyle w:val="Loendilik"/>
        <w:numPr>
          <w:ilvl w:val="0"/>
          <w:numId w:val="1"/>
        </w:numPr>
        <w:jc w:val="both"/>
        <w:rPr>
          <w:rFonts w:ascii="Times New Roman" w:hAnsi="Times New Roman" w:cs="Times New Roman"/>
          <w:b/>
          <w:bCs/>
          <w:sz w:val="24"/>
          <w:szCs w:val="24"/>
        </w:rPr>
      </w:pPr>
      <w:r w:rsidRPr="00193771">
        <w:rPr>
          <w:rFonts w:ascii="Times New Roman" w:hAnsi="Times New Roman" w:cs="Times New Roman"/>
          <w:b/>
          <w:bCs/>
          <w:sz w:val="24"/>
          <w:szCs w:val="24"/>
        </w:rPr>
        <w:t>Üürilepingu lõpetamine</w:t>
      </w:r>
    </w:p>
    <w:p w14:paraId="3D2B0899" w14:textId="28D80CFA" w:rsidR="00773C19" w:rsidRPr="00883910" w:rsidRDefault="00773C19" w:rsidP="00883910">
      <w:pPr>
        <w:jc w:val="both"/>
        <w:rPr>
          <w:rFonts w:ascii="Times New Roman" w:hAnsi="Times New Roman" w:cs="Times New Roman"/>
          <w:sz w:val="24"/>
          <w:szCs w:val="24"/>
        </w:rPr>
      </w:pPr>
      <w:r w:rsidRPr="00883910">
        <w:rPr>
          <w:rFonts w:ascii="Times New Roman" w:hAnsi="Times New Roman" w:cs="Times New Roman"/>
          <w:sz w:val="24"/>
          <w:szCs w:val="24"/>
        </w:rPr>
        <w:t>Jõgeva kohtumaja</w:t>
      </w:r>
      <w:r w:rsidR="00883910" w:rsidRPr="00883910">
        <w:rPr>
          <w:rFonts w:ascii="Times New Roman" w:hAnsi="Times New Roman" w:cs="Times New Roman"/>
          <w:sz w:val="24"/>
          <w:szCs w:val="24"/>
        </w:rPr>
        <w:t>, mis on ehitatud PP projektina ja mille omanik on eraettevõte, ü</w:t>
      </w:r>
      <w:r w:rsidRPr="00883910">
        <w:rPr>
          <w:rFonts w:ascii="Times New Roman" w:hAnsi="Times New Roman" w:cs="Times New Roman"/>
          <w:sz w:val="24"/>
          <w:szCs w:val="24"/>
        </w:rPr>
        <w:t>ürile</w:t>
      </w:r>
      <w:r w:rsidR="00C7432B">
        <w:rPr>
          <w:rFonts w:ascii="Times New Roman" w:hAnsi="Times New Roman" w:cs="Times New Roman"/>
          <w:sz w:val="24"/>
          <w:szCs w:val="24"/>
        </w:rPr>
        <w:t>andja on</w:t>
      </w:r>
      <w:r w:rsidR="00883910" w:rsidRPr="00883910">
        <w:rPr>
          <w:rFonts w:ascii="Times New Roman" w:hAnsi="Times New Roman" w:cs="Times New Roman"/>
          <w:sz w:val="24"/>
          <w:szCs w:val="24"/>
        </w:rPr>
        <w:t xml:space="preserve"> Riigi Kinnisvara AS</w:t>
      </w:r>
      <w:r w:rsidR="00C7432B">
        <w:rPr>
          <w:rFonts w:ascii="Times New Roman" w:hAnsi="Times New Roman" w:cs="Times New Roman"/>
          <w:sz w:val="24"/>
          <w:szCs w:val="24"/>
        </w:rPr>
        <w:t xml:space="preserve">. Üürileping on </w:t>
      </w:r>
      <w:r w:rsidR="00D62016">
        <w:rPr>
          <w:rFonts w:ascii="Times New Roman" w:hAnsi="Times New Roman" w:cs="Times New Roman"/>
          <w:sz w:val="24"/>
          <w:szCs w:val="24"/>
        </w:rPr>
        <w:t xml:space="preserve">sõlmitud </w:t>
      </w:r>
      <w:r w:rsidR="00C7432B">
        <w:rPr>
          <w:rFonts w:ascii="Times New Roman" w:hAnsi="Times New Roman" w:cs="Times New Roman"/>
          <w:sz w:val="24"/>
          <w:szCs w:val="24"/>
        </w:rPr>
        <w:t>02.09.2010.a. ning üürilepingu tähtaeg on</w:t>
      </w:r>
      <w:r w:rsidR="00883910" w:rsidRPr="00883910">
        <w:rPr>
          <w:rFonts w:ascii="Times New Roman" w:hAnsi="Times New Roman" w:cs="Times New Roman"/>
          <w:sz w:val="24"/>
          <w:szCs w:val="24"/>
        </w:rPr>
        <w:t xml:space="preserve"> 18.06.2034.a. Üürileping sätestab, et üürnikul</w:t>
      </w:r>
      <w:r w:rsidRPr="00883910">
        <w:rPr>
          <w:rFonts w:ascii="Times New Roman" w:hAnsi="Times New Roman" w:cs="Times New Roman"/>
          <w:sz w:val="24"/>
          <w:szCs w:val="24"/>
        </w:rPr>
        <w:t xml:space="preserve"> on õigus tähtaegne üürileping üles öelda sõltumata põhjusest, 24 kalendrikuud kirjalikult ette</w:t>
      </w:r>
      <w:r w:rsidR="00883910" w:rsidRPr="00883910">
        <w:rPr>
          <w:rFonts w:ascii="Times New Roman" w:hAnsi="Times New Roman" w:cs="Times New Roman"/>
          <w:sz w:val="24"/>
          <w:szCs w:val="24"/>
        </w:rPr>
        <w:t xml:space="preserve"> </w:t>
      </w:r>
      <w:r w:rsidRPr="00883910">
        <w:rPr>
          <w:rFonts w:ascii="Times New Roman" w:hAnsi="Times New Roman" w:cs="Times New Roman"/>
          <w:sz w:val="24"/>
          <w:szCs w:val="24"/>
        </w:rPr>
        <w:t xml:space="preserve">teavitades. </w:t>
      </w:r>
    </w:p>
    <w:p w14:paraId="36F5AE4C" w14:textId="77C843B9" w:rsidR="00773C19" w:rsidRDefault="00773C19" w:rsidP="00883910">
      <w:pPr>
        <w:jc w:val="both"/>
        <w:rPr>
          <w:rFonts w:ascii="Times New Roman" w:hAnsi="Times New Roman" w:cs="Times New Roman"/>
          <w:sz w:val="24"/>
          <w:szCs w:val="24"/>
        </w:rPr>
      </w:pPr>
      <w:r w:rsidRPr="00883910">
        <w:rPr>
          <w:rFonts w:ascii="Times New Roman" w:hAnsi="Times New Roman" w:cs="Times New Roman"/>
          <w:sz w:val="24"/>
          <w:szCs w:val="24"/>
        </w:rPr>
        <w:lastRenderedPageBreak/>
        <w:t>Juhul kui üürnik teavitab Üürileandjat Lepingu ülesütlemisest ette vähem kui 24 kuud, on üürileandjal õigus nõuda leppetrahvi ühe päeva üürisumma ulatuses iga etteteatamistähtajast puudu jäänud päeva eest, kui Pooled ei ole kirjalikult kokku leppinud teisti.</w:t>
      </w:r>
    </w:p>
    <w:p w14:paraId="1DB860B8" w14:textId="13666D64" w:rsidR="004D01B8" w:rsidRPr="00883910" w:rsidRDefault="004D01B8" w:rsidP="00883910">
      <w:pPr>
        <w:jc w:val="both"/>
        <w:rPr>
          <w:rFonts w:ascii="Times New Roman" w:hAnsi="Times New Roman" w:cs="Times New Roman"/>
          <w:sz w:val="24"/>
          <w:szCs w:val="24"/>
        </w:rPr>
      </w:pPr>
      <w:r>
        <w:rPr>
          <w:rFonts w:ascii="Times New Roman" w:hAnsi="Times New Roman" w:cs="Times New Roman"/>
          <w:sz w:val="24"/>
          <w:szCs w:val="24"/>
        </w:rPr>
        <w:t>Seega peab Jõgeva kohtumaja sulgemisel arvestama leppetrahviga, mis sisuliselt nullib saavutatava lühiajalise kokkuhoiu.</w:t>
      </w:r>
    </w:p>
    <w:p w14:paraId="6273E7F9" w14:textId="7ABFB6AB" w:rsidR="00AD0C0C" w:rsidRPr="00193771" w:rsidRDefault="00AD0C0C" w:rsidP="00AD0C0C">
      <w:pPr>
        <w:pStyle w:val="Loendilik"/>
        <w:numPr>
          <w:ilvl w:val="0"/>
          <w:numId w:val="1"/>
        </w:numPr>
        <w:rPr>
          <w:rFonts w:ascii="Times New Roman" w:hAnsi="Times New Roman" w:cs="Times New Roman"/>
          <w:b/>
          <w:bCs/>
          <w:sz w:val="24"/>
          <w:szCs w:val="24"/>
        </w:rPr>
      </w:pPr>
      <w:r w:rsidRPr="00193771">
        <w:rPr>
          <w:rFonts w:ascii="Times New Roman" w:hAnsi="Times New Roman" w:cs="Times New Roman"/>
          <w:b/>
          <w:bCs/>
          <w:sz w:val="24"/>
          <w:szCs w:val="24"/>
        </w:rPr>
        <w:t>Õigusemõistmise kättesaadavus</w:t>
      </w:r>
    </w:p>
    <w:p w14:paraId="4B06E0E4" w14:textId="57FD088C" w:rsidR="00293224" w:rsidRDefault="00AD0C0C" w:rsidP="00F00728">
      <w:pPr>
        <w:jc w:val="both"/>
        <w:rPr>
          <w:rFonts w:ascii="Times New Roman" w:hAnsi="Times New Roman" w:cs="Times New Roman"/>
          <w:sz w:val="24"/>
          <w:szCs w:val="24"/>
        </w:rPr>
      </w:pPr>
      <w:r>
        <w:rPr>
          <w:rFonts w:ascii="Times New Roman" w:hAnsi="Times New Roman" w:cs="Times New Roman"/>
          <w:sz w:val="24"/>
          <w:szCs w:val="24"/>
        </w:rPr>
        <w:t>Jõgeva kohtumaja teeninduspiirkonda kuulub Jõgeva maakond</w:t>
      </w:r>
      <w:r w:rsidR="009F3DAE">
        <w:rPr>
          <w:rFonts w:ascii="Times New Roman" w:hAnsi="Times New Roman" w:cs="Times New Roman"/>
          <w:sz w:val="24"/>
          <w:szCs w:val="24"/>
        </w:rPr>
        <w:t>. Arvestades Jõgeva maakonna keskmisest madalamat elatustaset</w:t>
      </w:r>
      <w:r w:rsidR="001076A2">
        <w:rPr>
          <w:rStyle w:val="Allmrkuseviide"/>
          <w:rFonts w:ascii="Times New Roman" w:hAnsi="Times New Roman" w:cs="Times New Roman"/>
          <w:sz w:val="24"/>
          <w:szCs w:val="24"/>
        </w:rPr>
        <w:footnoteReference w:id="1"/>
      </w:r>
      <w:r w:rsidR="009F3DAE">
        <w:rPr>
          <w:rFonts w:ascii="Times New Roman" w:hAnsi="Times New Roman" w:cs="Times New Roman"/>
          <w:sz w:val="24"/>
          <w:szCs w:val="24"/>
        </w:rPr>
        <w:t xml:space="preserve"> ning ühistranspordi võrgu </w:t>
      </w:r>
      <w:r w:rsidR="00293224">
        <w:rPr>
          <w:rFonts w:ascii="Times New Roman" w:hAnsi="Times New Roman" w:cs="Times New Roman"/>
          <w:sz w:val="24"/>
          <w:szCs w:val="24"/>
        </w:rPr>
        <w:t>hajusust</w:t>
      </w:r>
      <w:r w:rsidR="009F3DAE">
        <w:rPr>
          <w:rFonts w:ascii="Times New Roman" w:hAnsi="Times New Roman" w:cs="Times New Roman"/>
          <w:sz w:val="24"/>
          <w:szCs w:val="24"/>
        </w:rPr>
        <w:t>, halveneb kohtumaja sulgemisega õigusemõistmise kättesaadavus Jõgeva maakonnas</w:t>
      </w:r>
      <w:r w:rsidR="004D01B8">
        <w:rPr>
          <w:rFonts w:ascii="Times New Roman" w:hAnsi="Times New Roman" w:cs="Times New Roman"/>
          <w:sz w:val="24"/>
          <w:szCs w:val="24"/>
        </w:rPr>
        <w:t xml:space="preserve"> ja tegelikult terves Lõuna-Eestis</w:t>
      </w:r>
      <w:r w:rsidR="009F3DAE">
        <w:rPr>
          <w:rFonts w:ascii="Times New Roman" w:hAnsi="Times New Roman" w:cs="Times New Roman"/>
          <w:sz w:val="24"/>
          <w:szCs w:val="24"/>
        </w:rPr>
        <w:t xml:space="preserve">. </w:t>
      </w:r>
    </w:p>
    <w:p w14:paraId="48B636F4" w14:textId="2D9C842E" w:rsidR="001076A2" w:rsidRDefault="001076A2" w:rsidP="00F00728">
      <w:pPr>
        <w:jc w:val="both"/>
        <w:rPr>
          <w:rFonts w:ascii="Times New Roman" w:hAnsi="Times New Roman" w:cs="Times New Roman"/>
          <w:sz w:val="24"/>
          <w:szCs w:val="24"/>
        </w:rPr>
      </w:pPr>
      <w:r>
        <w:rPr>
          <w:noProof/>
        </w:rPr>
        <w:drawing>
          <wp:inline distT="0" distB="0" distL="0" distR="0" wp14:anchorId="7C73E14A" wp14:editId="49C045AF">
            <wp:extent cx="3524250" cy="2936875"/>
            <wp:effectExtent l="0" t="0" r="0" b="0"/>
            <wp:docPr id="200709997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1216" cy="2942680"/>
                    </a:xfrm>
                    <a:prstGeom prst="rect">
                      <a:avLst/>
                    </a:prstGeom>
                    <a:noFill/>
                    <a:ln>
                      <a:noFill/>
                    </a:ln>
                  </pic:spPr>
                </pic:pic>
              </a:graphicData>
            </a:graphic>
          </wp:inline>
        </w:drawing>
      </w:r>
    </w:p>
    <w:p w14:paraId="5192B78C" w14:textId="46BB3530" w:rsidR="00293224" w:rsidRDefault="00293224" w:rsidP="00F00728">
      <w:pPr>
        <w:jc w:val="both"/>
        <w:rPr>
          <w:rFonts w:ascii="Times New Roman" w:hAnsi="Times New Roman" w:cs="Times New Roman"/>
          <w:sz w:val="24"/>
          <w:szCs w:val="24"/>
        </w:rPr>
      </w:pPr>
      <w:r>
        <w:rPr>
          <w:rFonts w:ascii="Times New Roman" w:hAnsi="Times New Roman" w:cs="Times New Roman"/>
          <w:sz w:val="24"/>
          <w:szCs w:val="24"/>
        </w:rPr>
        <w:t>Jõgeva kohtumajas toimus 2023.</w:t>
      </w:r>
      <w:r w:rsidR="00EA1C67">
        <w:rPr>
          <w:rFonts w:ascii="Times New Roman" w:hAnsi="Times New Roman" w:cs="Times New Roman"/>
          <w:sz w:val="24"/>
          <w:szCs w:val="24"/>
        </w:rPr>
        <w:t xml:space="preserve"> </w:t>
      </w:r>
      <w:r>
        <w:rPr>
          <w:rFonts w:ascii="Times New Roman" w:hAnsi="Times New Roman" w:cs="Times New Roman"/>
          <w:sz w:val="24"/>
          <w:szCs w:val="24"/>
        </w:rPr>
        <w:t xml:space="preserve">aastal keskmiselt 4,5 istungit päevas, samas kui 1-4 kohtunikukohaga kohtumajades toimus keskmiselt 3 istungit päevas. Istungite korraldamise asukohale ei ole Jõgeval kohtumajale alternatiive. </w:t>
      </w:r>
      <w:r w:rsidR="00153A11">
        <w:rPr>
          <w:rFonts w:ascii="Times New Roman" w:hAnsi="Times New Roman" w:cs="Times New Roman"/>
          <w:sz w:val="24"/>
          <w:szCs w:val="24"/>
        </w:rPr>
        <w:t xml:space="preserve">Ainukese alternatiivina kõne alla tulev </w:t>
      </w:r>
      <w:r>
        <w:rPr>
          <w:rFonts w:ascii="Times New Roman" w:hAnsi="Times New Roman" w:cs="Times New Roman"/>
          <w:sz w:val="24"/>
          <w:szCs w:val="24"/>
        </w:rPr>
        <w:t>Jõgeva Riigimaja koosneb büroopindadest ning kahest nõupidamisruumist</w:t>
      </w:r>
      <w:r w:rsidR="00153A11">
        <w:rPr>
          <w:rFonts w:ascii="Times New Roman" w:hAnsi="Times New Roman" w:cs="Times New Roman"/>
          <w:sz w:val="24"/>
          <w:szCs w:val="24"/>
        </w:rPr>
        <w:t>, mis ei ole istungite korraldamiseks sobilikud. Jõgeva</w:t>
      </w:r>
      <w:r>
        <w:rPr>
          <w:rFonts w:ascii="Times New Roman" w:hAnsi="Times New Roman" w:cs="Times New Roman"/>
          <w:sz w:val="24"/>
          <w:szCs w:val="24"/>
        </w:rPr>
        <w:t xml:space="preserve"> Riigimaja on täis ning kasutajaid juurde ei võeta.</w:t>
      </w:r>
    </w:p>
    <w:p w14:paraId="63F11413" w14:textId="6001BC0D" w:rsidR="00AD0C0C" w:rsidRDefault="009F3DAE" w:rsidP="00153A11">
      <w:pPr>
        <w:jc w:val="both"/>
        <w:rPr>
          <w:rFonts w:ascii="Times New Roman" w:hAnsi="Times New Roman" w:cs="Times New Roman"/>
          <w:sz w:val="24"/>
          <w:szCs w:val="24"/>
        </w:rPr>
      </w:pPr>
      <w:r>
        <w:rPr>
          <w:rFonts w:ascii="Times New Roman" w:hAnsi="Times New Roman" w:cs="Times New Roman"/>
          <w:sz w:val="24"/>
          <w:szCs w:val="24"/>
        </w:rPr>
        <w:t xml:space="preserve">Eriti ohustatud on </w:t>
      </w:r>
      <w:r w:rsidR="00153A11">
        <w:rPr>
          <w:rFonts w:ascii="Times New Roman" w:hAnsi="Times New Roman" w:cs="Times New Roman"/>
          <w:sz w:val="24"/>
          <w:szCs w:val="24"/>
        </w:rPr>
        <w:t xml:space="preserve">kohtumaja sulgemisest hagita tsiviilasjade </w:t>
      </w:r>
      <w:r w:rsidR="00293224">
        <w:rPr>
          <w:rFonts w:ascii="Times New Roman" w:hAnsi="Times New Roman" w:cs="Times New Roman"/>
          <w:sz w:val="24"/>
          <w:szCs w:val="24"/>
        </w:rPr>
        <w:t>menetlusosalised</w:t>
      </w:r>
      <w:r w:rsidR="00153A11">
        <w:rPr>
          <w:rFonts w:ascii="Times New Roman" w:hAnsi="Times New Roman" w:cs="Times New Roman"/>
          <w:sz w:val="24"/>
          <w:szCs w:val="24"/>
        </w:rPr>
        <w:t>, eeskätt eestkostetavad, vanurid ja lapsed</w:t>
      </w:r>
      <w:r w:rsidR="00153A11">
        <w:rPr>
          <w:rStyle w:val="Allmrkuseviide"/>
          <w:rFonts w:ascii="Times New Roman" w:hAnsi="Times New Roman" w:cs="Times New Roman"/>
          <w:sz w:val="24"/>
          <w:szCs w:val="24"/>
        </w:rPr>
        <w:footnoteReference w:id="2"/>
      </w:r>
      <w:r w:rsidR="00153A11">
        <w:rPr>
          <w:rFonts w:ascii="Times New Roman" w:hAnsi="Times New Roman" w:cs="Times New Roman"/>
          <w:sz w:val="24"/>
          <w:szCs w:val="24"/>
        </w:rPr>
        <w:t>.</w:t>
      </w:r>
    </w:p>
    <w:p w14:paraId="10B1EEBE" w14:textId="4DCA6A11" w:rsidR="00400605" w:rsidRDefault="00400605" w:rsidP="00153A11">
      <w:pPr>
        <w:jc w:val="both"/>
        <w:rPr>
          <w:rFonts w:ascii="Times New Roman" w:hAnsi="Times New Roman" w:cs="Times New Roman"/>
          <w:sz w:val="24"/>
          <w:szCs w:val="24"/>
        </w:rPr>
      </w:pPr>
      <w:r>
        <w:rPr>
          <w:rFonts w:ascii="Times New Roman" w:hAnsi="Times New Roman" w:cs="Times New Roman"/>
          <w:sz w:val="24"/>
          <w:szCs w:val="24"/>
        </w:rPr>
        <w:t xml:space="preserve">Samavõrra on ohustatud võlgnikud pankroti- ja </w:t>
      </w:r>
      <w:r w:rsidR="005537BA" w:rsidRPr="005537BA">
        <w:rPr>
          <w:rFonts w:ascii="Times New Roman" w:hAnsi="Times New Roman" w:cs="Times New Roman"/>
          <w:sz w:val="24"/>
          <w:szCs w:val="24"/>
        </w:rPr>
        <w:t xml:space="preserve">maksejõuetusasjades, milles arvestades menetluse iseloomu ja isikute madalat digivõimekust või selle puudumist, tuleb kohtu suulist selgitamiskohustuse täitmist eriti oluliseks pidada.  </w:t>
      </w:r>
    </w:p>
    <w:p w14:paraId="65C9ACA2" w14:textId="77777777" w:rsidR="00193771" w:rsidRDefault="00193771" w:rsidP="00193771">
      <w:pPr>
        <w:pStyle w:val="Loendilik"/>
        <w:jc w:val="both"/>
        <w:rPr>
          <w:rFonts w:ascii="Times New Roman" w:hAnsi="Times New Roman" w:cs="Times New Roman"/>
          <w:sz w:val="24"/>
          <w:szCs w:val="24"/>
        </w:rPr>
      </w:pPr>
    </w:p>
    <w:p w14:paraId="3AB209C7" w14:textId="58DB07DE" w:rsidR="00153A11" w:rsidRPr="00193771" w:rsidRDefault="00153A11" w:rsidP="00153A11">
      <w:pPr>
        <w:pStyle w:val="Loendilik"/>
        <w:numPr>
          <w:ilvl w:val="0"/>
          <w:numId w:val="1"/>
        </w:numPr>
        <w:jc w:val="both"/>
        <w:rPr>
          <w:rFonts w:ascii="Times New Roman" w:hAnsi="Times New Roman" w:cs="Times New Roman"/>
          <w:b/>
          <w:bCs/>
          <w:sz w:val="24"/>
          <w:szCs w:val="24"/>
        </w:rPr>
      </w:pPr>
      <w:r w:rsidRPr="00193771">
        <w:rPr>
          <w:rFonts w:ascii="Times New Roman" w:hAnsi="Times New Roman" w:cs="Times New Roman"/>
          <w:b/>
          <w:bCs/>
          <w:sz w:val="24"/>
          <w:szCs w:val="24"/>
        </w:rPr>
        <w:lastRenderedPageBreak/>
        <w:t>Kohtumaja koormus</w:t>
      </w:r>
    </w:p>
    <w:p w14:paraId="4A0CD8D3" w14:textId="161584EA" w:rsidR="00F00728" w:rsidRDefault="00153A11" w:rsidP="00153A11">
      <w:pPr>
        <w:jc w:val="both"/>
        <w:rPr>
          <w:rFonts w:ascii="Times New Roman" w:hAnsi="Times New Roman" w:cs="Times New Roman"/>
          <w:sz w:val="24"/>
          <w:szCs w:val="24"/>
        </w:rPr>
      </w:pPr>
      <w:r>
        <w:rPr>
          <w:rFonts w:ascii="Times New Roman" w:hAnsi="Times New Roman" w:cs="Times New Roman"/>
          <w:sz w:val="24"/>
          <w:szCs w:val="24"/>
        </w:rPr>
        <w:t>Jõgeva kohtumajja lahendamiseks saabunud asjade arv on viimastel aastatel püsinud 1100 asja tasemel. Samas on muut</w:t>
      </w:r>
      <w:r w:rsidR="005537BA">
        <w:rPr>
          <w:rFonts w:ascii="Times New Roman" w:hAnsi="Times New Roman" w:cs="Times New Roman"/>
          <w:sz w:val="24"/>
          <w:szCs w:val="24"/>
        </w:rPr>
        <w:t>u</w:t>
      </w:r>
      <w:r>
        <w:rPr>
          <w:rFonts w:ascii="Times New Roman" w:hAnsi="Times New Roman" w:cs="Times New Roman"/>
          <w:sz w:val="24"/>
          <w:szCs w:val="24"/>
        </w:rPr>
        <w:t>nud asjade proportsioonid – vähenenud on kriminaalasjade arv ja osakaal ning suurenenud tsiviilasjade arv ja osakaal. 2023.</w:t>
      </w:r>
      <w:r w:rsidR="00EA1C67">
        <w:rPr>
          <w:rFonts w:ascii="Times New Roman" w:hAnsi="Times New Roman" w:cs="Times New Roman"/>
          <w:sz w:val="24"/>
          <w:szCs w:val="24"/>
        </w:rPr>
        <w:t xml:space="preserve"> </w:t>
      </w:r>
      <w:r>
        <w:rPr>
          <w:rFonts w:ascii="Times New Roman" w:hAnsi="Times New Roman" w:cs="Times New Roman"/>
          <w:sz w:val="24"/>
          <w:szCs w:val="24"/>
        </w:rPr>
        <w:t xml:space="preserve">aastal moodustasid tsiviilasjad </w:t>
      </w:r>
      <w:r w:rsidR="00F00728">
        <w:rPr>
          <w:rFonts w:ascii="Times New Roman" w:hAnsi="Times New Roman" w:cs="Times New Roman"/>
          <w:sz w:val="24"/>
          <w:szCs w:val="24"/>
        </w:rPr>
        <w:t>ligi 60% saabunud asjadest. Tsiviilasjadest omakorda moodustasid hagita menetlused üle 40%.</w:t>
      </w:r>
    </w:p>
    <w:p w14:paraId="47FA7454" w14:textId="19DE2AB7" w:rsidR="00153A11" w:rsidRDefault="00F00728" w:rsidP="00153A11">
      <w:pPr>
        <w:jc w:val="both"/>
        <w:rPr>
          <w:rFonts w:ascii="Times New Roman" w:hAnsi="Times New Roman" w:cs="Times New Roman"/>
          <w:sz w:val="24"/>
          <w:szCs w:val="24"/>
        </w:rPr>
      </w:pPr>
      <w:r>
        <w:rPr>
          <w:rFonts w:ascii="Times New Roman" w:hAnsi="Times New Roman" w:cs="Times New Roman"/>
          <w:sz w:val="24"/>
          <w:szCs w:val="24"/>
        </w:rPr>
        <w:t>Jõgeva kohtumaja tsiviilasju lahendavate kohtunike keskmine töökoormus</w:t>
      </w:r>
      <w:r>
        <w:rPr>
          <w:rStyle w:val="Allmrkuseviide"/>
          <w:rFonts w:ascii="Times New Roman" w:hAnsi="Times New Roman" w:cs="Times New Roman"/>
          <w:sz w:val="24"/>
          <w:szCs w:val="24"/>
        </w:rPr>
        <w:footnoteReference w:id="3"/>
      </w:r>
      <w:r>
        <w:rPr>
          <w:rFonts w:ascii="Times New Roman" w:hAnsi="Times New Roman" w:cs="Times New Roman"/>
          <w:sz w:val="24"/>
          <w:szCs w:val="24"/>
        </w:rPr>
        <w:t xml:space="preserve"> ületab 4% 1-4 kohtunikukohaga kohtumajade tsiviilasju lahendavate kohtunike keskmist koormust.</w:t>
      </w:r>
      <w:r w:rsidR="00153A1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45A060" w14:textId="55B86FAF" w:rsidR="00F00728" w:rsidRDefault="00F00728" w:rsidP="00153A11">
      <w:pPr>
        <w:jc w:val="both"/>
        <w:rPr>
          <w:rFonts w:ascii="Times New Roman" w:hAnsi="Times New Roman" w:cs="Times New Roman"/>
          <w:sz w:val="24"/>
          <w:szCs w:val="24"/>
        </w:rPr>
      </w:pPr>
      <w:r>
        <w:rPr>
          <w:rFonts w:ascii="Times New Roman" w:hAnsi="Times New Roman" w:cs="Times New Roman"/>
          <w:sz w:val="24"/>
          <w:szCs w:val="24"/>
        </w:rPr>
        <w:t xml:space="preserve">Jõgeva kohtumaja süüteoasju lahendavate kohtunike töökoormus on teiste kohtumajade </w:t>
      </w:r>
      <w:r w:rsidR="00E9685A">
        <w:rPr>
          <w:rFonts w:ascii="Times New Roman" w:hAnsi="Times New Roman" w:cs="Times New Roman"/>
          <w:sz w:val="24"/>
          <w:szCs w:val="24"/>
        </w:rPr>
        <w:t>tasemel.</w:t>
      </w:r>
    </w:p>
    <w:p w14:paraId="57775C77" w14:textId="2A45100A" w:rsidR="004D01B8" w:rsidRDefault="004D01B8" w:rsidP="00153A11">
      <w:pPr>
        <w:jc w:val="both"/>
        <w:rPr>
          <w:rFonts w:ascii="Times New Roman" w:hAnsi="Times New Roman" w:cs="Times New Roman"/>
          <w:sz w:val="24"/>
          <w:szCs w:val="24"/>
        </w:rPr>
      </w:pPr>
      <w:r>
        <w:rPr>
          <w:rFonts w:ascii="Times New Roman" w:hAnsi="Times New Roman" w:cs="Times New Roman"/>
          <w:sz w:val="24"/>
          <w:szCs w:val="24"/>
        </w:rPr>
        <w:t>Lugupidamisega</w:t>
      </w:r>
    </w:p>
    <w:p w14:paraId="0E5AD6A3" w14:textId="798DD54B" w:rsidR="004D01B8" w:rsidRDefault="004D01B8" w:rsidP="00153A11">
      <w:pPr>
        <w:jc w:val="both"/>
        <w:rPr>
          <w:rFonts w:ascii="Times New Roman" w:hAnsi="Times New Roman" w:cs="Times New Roman"/>
          <w:sz w:val="24"/>
          <w:szCs w:val="24"/>
        </w:rPr>
      </w:pPr>
      <w:r>
        <w:rPr>
          <w:rFonts w:ascii="Times New Roman" w:hAnsi="Times New Roman" w:cs="Times New Roman"/>
          <w:sz w:val="24"/>
          <w:szCs w:val="24"/>
        </w:rPr>
        <w:t>(allkirjastatud digitaalselt)</w:t>
      </w:r>
    </w:p>
    <w:p w14:paraId="55D92E75" w14:textId="4DE8DEEA" w:rsidR="004D01B8" w:rsidRDefault="004D01B8" w:rsidP="00153A11">
      <w:pPr>
        <w:jc w:val="both"/>
        <w:rPr>
          <w:rFonts w:ascii="Times New Roman" w:hAnsi="Times New Roman" w:cs="Times New Roman"/>
          <w:sz w:val="24"/>
          <w:szCs w:val="24"/>
        </w:rPr>
      </w:pPr>
      <w:r>
        <w:rPr>
          <w:rFonts w:ascii="Times New Roman" w:hAnsi="Times New Roman" w:cs="Times New Roman"/>
          <w:sz w:val="24"/>
          <w:szCs w:val="24"/>
        </w:rPr>
        <w:t>Marek Vahing</w:t>
      </w:r>
    </w:p>
    <w:p w14:paraId="1CBFDD27" w14:textId="3C25802D" w:rsidR="004D01B8" w:rsidRDefault="004D01B8" w:rsidP="00153A11">
      <w:pPr>
        <w:jc w:val="both"/>
        <w:rPr>
          <w:rFonts w:ascii="Times New Roman" w:hAnsi="Times New Roman" w:cs="Times New Roman"/>
          <w:sz w:val="24"/>
          <w:szCs w:val="24"/>
        </w:rPr>
      </w:pPr>
      <w:r>
        <w:rPr>
          <w:rFonts w:ascii="Times New Roman" w:hAnsi="Times New Roman" w:cs="Times New Roman"/>
          <w:sz w:val="24"/>
          <w:szCs w:val="24"/>
        </w:rPr>
        <w:t>Tiina Ereb</w:t>
      </w:r>
    </w:p>
    <w:p w14:paraId="2CD74F76" w14:textId="77777777" w:rsidR="002B7097" w:rsidRPr="002B7097" w:rsidRDefault="002B7097" w:rsidP="002B7097">
      <w:pPr>
        <w:pStyle w:val="Loendilik"/>
        <w:jc w:val="both"/>
        <w:rPr>
          <w:rFonts w:ascii="Times New Roman" w:hAnsi="Times New Roman" w:cs="Times New Roman"/>
          <w:sz w:val="24"/>
          <w:szCs w:val="24"/>
        </w:rPr>
      </w:pPr>
    </w:p>
    <w:p w14:paraId="50971351" w14:textId="77777777" w:rsidR="00D53FD4" w:rsidRPr="00D53FD4" w:rsidRDefault="00D53FD4" w:rsidP="00D53FD4">
      <w:pPr>
        <w:rPr>
          <w:rFonts w:ascii="Times New Roman" w:hAnsi="Times New Roman" w:cs="Times New Roman"/>
          <w:sz w:val="24"/>
          <w:szCs w:val="24"/>
        </w:rPr>
      </w:pPr>
    </w:p>
    <w:sectPr w:rsidR="00D53FD4" w:rsidRPr="00D53FD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8549" w14:textId="77777777" w:rsidR="009E4ED7" w:rsidRDefault="009E4ED7" w:rsidP="00293224">
      <w:pPr>
        <w:spacing w:after="0" w:line="240" w:lineRule="auto"/>
      </w:pPr>
      <w:r>
        <w:separator/>
      </w:r>
    </w:p>
  </w:endnote>
  <w:endnote w:type="continuationSeparator" w:id="0">
    <w:p w14:paraId="17D6ECAF" w14:textId="77777777" w:rsidR="009E4ED7" w:rsidRDefault="009E4ED7" w:rsidP="0029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4270"/>
      <w:docPartObj>
        <w:docPartGallery w:val="Page Numbers (Bottom of Page)"/>
        <w:docPartUnique/>
      </w:docPartObj>
    </w:sdtPr>
    <w:sdtEndPr/>
    <w:sdtContent>
      <w:p w14:paraId="19730D83" w14:textId="17EB55D8" w:rsidR="002B7097" w:rsidRDefault="002B7097">
        <w:pPr>
          <w:pStyle w:val="Jalus"/>
          <w:jc w:val="right"/>
        </w:pPr>
        <w:r>
          <w:fldChar w:fldCharType="begin"/>
        </w:r>
        <w:r>
          <w:instrText>PAGE   \* MERGEFORMAT</w:instrText>
        </w:r>
        <w:r>
          <w:fldChar w:fldCharType="separate"/>
        </w:r>
        <w:r>
          <w:t>2</w:t>
        </w:r>
        <w:r>
          <w:fldChar w:fldCharType="end"/>
        </w:r>
      </w:p>
    </w:sdtContent>
  </w:sdt>
  <w:p w14:paraId="6A7C0EEB" w14:textId="77777777" w:rsidR="002B7097" w:rsidRDefault="002B709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F8B7" w14:textId="77777777" w:rsidR="009E4ED7" w:rsidRDefault="009E4ED7" w:rsidP="00293224">
      <w:pPr>
        <w:spacing w:after="0" w:line="240" w:lineRule="auto"/>
      </w:pPr>
      <w:r>
        <w:separator/>
      </w:r>
    </w:p>
  </w:footnote>
  <w:footnote w:type="continuationSeparator" w:id="0">
    <w:p w14:paraId="048B4185" w14:textId="77777777" w:rsidR="009E4ED7" w:rsidRDefault="009E4ED7" w:rsidP="00293224">
      <w:pPr>
        <w:spacing w:after="0" w:line="240" w:lineRule="auto"/>
      </w:pPr>
      <w:r>
        <w:continuationSeparator/>
      </w:r>
    </w:p>
  </w:footnote>
  <w:footnote w:id="1">
    <w:p w14:paraId="2D14ABF1" w14:textId="3624F78D" w:rsidR="001076A2" w:rsidRDefault="001076A2">
      <w:pPr>
        <w:pStyle w:val="Allmrkusetekst"/>
        <w:rPr>
          <w:rFonts w:ascii="Times New Roman" w:hAnsi="Times New Roman" w:cs="Times New Roman"/>
        </w:rPr>
      </w:pPr>
      <w:r>
        <w:rPr>
          <w:rStyle w:val="Allmrkuseviide"/>
        </w:rPr>
        <w:footnoteRef/>
      </w:r>
      <w:r>
        <w:t xml:space="preserve"> </w:t>
      </w:r>
      <w:hyperlink r:id="rId1" w:history="1">
        <w:r w:rsidR="000F7B1D" w:rsidRPr="00370A6F">
          <w:rPr>
            <w:rStyle w:val="Hperlink"/>
            <w:rFonts w:ascii="Times New Roman" w:hAnsi="Times New Roman" w:cs="Times New Roman"/>
          </w:rPr>
          <w:t>https://www.stat.ee/et/avasta-statistikat/valdkonnad/tooelu/sissetulek</w:t>
        </w:r>
      </w:hyperlink>
    </w:p>
    <w:p w14:paraId="25ABABEC" w14:textId="77777777" w:rsidR="000F7B1D" w:rsidRPr="000F7B1D" w:rsidRDefault="000F7B1D">
      <w:pPr>
        <w:pStyle w:val="Allmrkusetekst"/>
        <w:rPr>
          <w:rFonts w:ascii="Times New Roman" w:hAnsi="Times New Roman" w:cs="Times New Roman"/>
        </w:rPr>
      </w:pPr>
    </w:p>
  </w:footnote>
  <w:footnote w:id="2">
    <w:p w14:paraId="526B0C63" w14:textId="77777777" w:rsidR="00153A11" w:rsidRDefault="00153A11" w:rsidP="00153A11">
      <w:pPr>
        <w:pStyle w:val="Vahedeta"/>
        <w:jc w:val="both"/>
        <w:rPr>
          <w:rFonts w:ascii="Times New Roman" w:hAnsi="Times New Roman" w:cs="Times New Roman"/>
          <w:sz w:val="20"/>
          <w:szCs w:val="20"/>
          <w:shd w:val="clear" w:color="auto" w:fill="FFFFFF"/>
        </w:rPr>
      </w:pPr>
      <w:r>
        <w:rPr>
          <w:rStyle w:val="Allmrkuseviide"/>
        </w:rPr>
        <w:footnoteRef/>
      </w:r>
      <w:r>
        <w:t xml:space="preserve"> </w:t>
      </w:r>
      <w:proofErr w:type="spellStart"/>
      <w:r w:rsidRPr="00303DCD">
        <w:rPr>
          <w:rFonts w:ascii="Times New Roman" w:hAnsi="Times New Roman" w:cs="Times New Roman"/>
          <w:sz w:val="20"/>
          <w:szCs w:val="20"/>
          <w:shd w:val="clear" w:color="auto" w:fill="FFFFFF"/>
        </w:rPr>
        <w:t>TsMS</w:t>
      </w:r>
      <w:proofErr w:type="spellEnd"/>
      <w:r w:rsidRPr="00303DCD">
        <w:rPr>
          <w:rFonts w:ascii="Times New Roman" w:hAnsi="Times New Roman" w:cs="Times New Roman"/>
          <w:sz w:val="20"/>
          <w:szCs w:val="20"/>
          <w:shd w:val="clear" w:color="auto" w:fill="FFFFFF"/>
        </w:rPr>
        <w:t xml:space="preserve"> § 74 lg 3 Hagita asjas toimub kohtuistung üldjuhul kohtumajas, mis asub kõige lähemal kohale, mille järgi määratakse kohtualluvus. Menetlusosaliste huve arvestades võib kohus pidada istungi muus kohtumajas.</w:t>
      </w:r>
    </w:p>
    <w:p w14:paraId="3D983855" w14:textId="6FC700B6" w:rsidR="00153A11" w:rsidRDefault="00153A11">
      <w:pPr>
        <w:pStyle w:val="Allmrkusetekst"/>
      </w:pPr>
    </w:p>
  </w:footnote>
  <w:footnote w:id="3">
    <w:p w14:paraId="0868CE6F" w14:textId="1F9D1E43" w:rsidR="00F00728" w:rsidRDefault="00F00728">
      <w:pPr>
        <w:pStyle w:val="Allmrkusetekst"/>
      </w:pPr>
      <w:r>
        <w:rPr>
          <w:rStyle w:val="Allmrkuseviide"/>
        </w:rPr>
        <w:footnoteRef/>
      </w:r>
      <w:r>
        <w:t xml:space="preserve"> </w:t>
      </w:r>
      <w:r w:rsidRPr="00F00728">
        <w:rPr>
          <w:rFonts w:ascii="Times New Roman" w:hAnsi="Times New Roman" w:cs="Times New Roman"/>
        </w:rPr>
        <w:t>Kohtute töökoormusmetoodika alusel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524A"/>
    <w:multiLevelType w:val="hybridMultilevel"/>
    <w:tmpl w:val="B60CA15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B8D4063"/>
    <w:multiLevelType w:val="hybridMultilevel"/>
    <w:tmpl w:val="A3DCCA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2000573315">
    <w:abstractNumId w:val="0"/>
  </w:num>
  <w:num w:numId="2" w16cid:durableId="1684473081">
    <w:abstractNumId w:val="1"/>
  </w:num>
  <w:num w:numId="3" w16cid:durableId="1527715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D4"/>
    <w:rsid w:val="000F7B1D"/>
    <w:rsid w:val="001076A2"/>
    <w:rsid w:val="00153A11"/>
    <w:rsid w:val="00193771"/>
    <w:rsid w:val="00293224"/>
    <w:rsid w:val="002B7097"/>
    <w:rsid w:val="0035551E"/>
    <w:rsid w:val="00400605"/>
    <w:rsid w:val="004D01B8"/>
    <w:rsid w:val="005537BA"/>
    <w:rsid w:val="007062FD"/>
    <w:rsid w:val="00773C19"/>
    <w:rsid w:val="00883910"/>
    <w:rsid w:val="00940462"/>
    <w:rsid w:val="009E4ED7"/>
    <w:rsid w:val="009F3DAE"/>
    <w:rsid w:val="009F6080"/>
    <w:rsid w:val="009F6936"/>
    <w:rsid w:val="00AD0C0C"/>
    <w:rsid w:val="00C34B0E"/>
    <w:rsid w:val="00C45DCB"/>
    <w:rsid w:val="00C7432B"/>
    <w:rsid w:val="00D05C4C"/>
    <w:rsid w:val="00D53FD4"/>
    <w:rsid w:val="00D62016"/>
    <w:rsid w:val="00E415B4"/>
    <w:rsid w:val="00E9685A"/>
    <w:rsid w:val="00EA1C67"/>
    <w:rsid w:val="00F007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996D"/>
  <w15:chartTrackingRefBased/>
  <w15:docId w15:val="{73572486-D712-43DE-A86F-15AE1E16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53FD4"/>
    <w:rPr>
      <w:color w:val="0563C1" w:themeColor="hyperlink"/>
      <w:u w:val="single"/>
    </w:rPr>
  </w:style>
  <w:style w:type="character" w:styleId="Lahendamatamainimine">
    <w:name w:val="Unresolved Mention"/>
    <w:basedOn w:val="Liguvaikefont"/>
    <w:uiPriority w:val="99"/>
    <w:semiHidden/>
    <w:unhideWhenUsed/>
    <w:rsid w:val="00D53FD4"/>
    <w:rPr>
      <w:color w:val="605E5C"/>
      <w:shd w:val="clear" w:color="auto" w:fill="E1DFDD"/>
    </w:rPr>
  </w:style>
  <w:style w:type="paragraph" w:styleId="Loendilik">
    <w:name w:val="List Paragraph"/>
    <w:basedOn w:val="Normaallaad"/>
    <w:uiPriority w:val="34"/>
    <w:qFormat/>
    <w:rsid w:val="00D53FD4"/>
    <w:pPr>
      <w:ind w:left="720"/>
      <w:contextualSpacing/>
    </w:pPr>
  </w:style>
  <w:style w:type="paragraph" w:styleId="Allmrkusetekst">
    <w:name w:val="footnote text"/>
    <w:basedOn w:val="Normaallaad"/>
    <w:link w:val="AllmrkusetekstMrk"/>
    <w:uiPriority w:val="99"/>
    <w:semiHidden/>
    <w:unhideWhenUsed/>
    <w:rsid w:val="0029322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93224"/>
    <w:rPr>
      <w:sz w:val="20"/>
      <w:szCs w:val="20"/>
    </w:rPr>
  </w:style>
  <w:style w:type="character" w:styleId="Allmrkuseviide">
    <w:name w:val="footnote reference"/>
    <w:basedOn w:val="Liguvaikefont"/>
    <w:uiPriority w:val="99"/>
    <w:semiHidden/>
    <w:unhideWhenUsed/>
    <w:rsid w:val="00293224"/>
    <w:rPr>
      <w:vertAlign w:val="superscript"/>
    </w:rPr>
  </w:style>
  <w:style w:type="paragraph" w:styleId="Vahedeta">
    <w:name w:val="No Spacing"/>
    <w:uiPriority w:val="1"/>
    <w:qFormat/>
    <w:rsid w:val="00293224"/>
    <w:pPr>
      <w:spacing w:after="0" w:line="240" w:lineRule="auto"/>
    </w:pPr>
  </w:style>
  <w:style w:type="paragraph" w:styleId="Pis">
    <w:name w:val="header"/>
    <w:basedOn w:val="Normaallaad"/>
    <w:link w:val="PisMrk"/>
    <w:uiPriority w:val="99"/>
    <w:unhideWhenUsed/>
    <w:rsid w:val="002B7097"/>
    <w:pPr>
      <w:tabs>
        <w:tab w:val="center" w:pos="4536"/>
        <w:tab w:val="right" w:pos="9072"/>
      </w:tabs>
      <w:spacing w:after="0" w:line="240" w:lineRule="auto"/>
    </w:pPr>
  </w:style>
  <w:style w:type="character" w:customStyle="1" w:styleId="PisMrk">
    <w:name w:val="Päis Märk"/>
    <w:basedOn w:val="Liguvaikefont"/>
    <w:link w:val="Pis"/>
    <w:uiPriority w:val="99"/>
    <w:rsid w:val="002B7097"/>
  </w:style>
  <w:style w:type="paragraph" w:styleId="Jalus">
    <w:name w:val="footer"/>
    <w:basedOn w:val="Normaallaad"/>
    <w:link w:val="JalusMrk"/>
    <w:uiPriority w:val="99"/>
    <w:unhideWhenUsed/>
    <w:rsid w:val="002B7097"/>
    <w:pPr>
      <w:tabs>
        <w:tab w:val="center" w:pos="4536"/>
        <w:tab w:val="right" w:pos="9072"/>
      </w:tabs>
      <w:spacing w:after="0" w:line="240" w:lineRule="auto"/>
    </w:pPr>
  </w:style>
  <w:style w:type="character" w:customStyle="1" w:styleId="JalusMrk">
    <w:name w:val="Jalus Märk"/>
    <w:basedOn w:val="Liguvaikefont"/>
    <w:link w:val="Jalus"/>
    <w:uiPriority w:val="99"/>
    <w:rsid w:val="002B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66258">
      <w:bodyDiv w:val="1"/>
      <w:marLeft w:val="0"/>
      <w:marRight w:val="0"/>
      <w:marTop w:val="0"/>
      <w:marBottom w:val="0"/>
      <w:divBdr>
        <w:top w:val="none" w:sz="0" w:space="0" w:color="auto"/>
        <w:left w:val="none" w:sz="0" w:space="0" w:color="auto"/>
        <w:bottom w:val="none" w:sz="0" w:space="0" w:color="auto"/>
        <w:right w:val="none" w:sz="0" w:space="0" w:color="auto"/>
      </w:divBdr>
    </w:div>
    <w:div w:id="19153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ee/et/avasta-statistikat/valdkonnad/tooelu/sissetulek"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62B99-E3CF-4276-8C53-F76E0C01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622</Words>
  <Characters>3610</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Ereb</dc:creator>
  <cp:keywords/>
  <dc:description/>
  <cp:lastModifiedBy>Marek Vahing</cp:lastModifiedBy>
  <cp:revision>8</cp:revision>
  <dcterms:created xsi:type="dcterms:W3CDTF">2024-08-23T10:14:00Z</dcterms:created>
  <dcterms:modified xsi:type="dcterms:W3CDTF">2024-08-23T11:51:00Z</dcterms:modified>
</cp:coreProperties>
</file>